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D4" w:rsidRPr="00136581" w:rsidRDefault="00FE540C" w:rsidP="004C3AD4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>
        <w:rPr>
          <w:rFonts w:ascii="方正小标宋_GBK" w:eastAsia="方正小标宋_GBK" w:hAnsi="宋体" w:hint="eastAsia"/>
          <w:sz w:val="40"/>
          <w:szCs w:val="36"/>
        </w:rPr>
        <w:t>2020</w:t>
      </w:r>
      <w:bookmarkStart w:id="0" w:name="_GoBack"/>
      <w:bookmarkEnd w:id="0"/>
      <w:r w:rsidR="004C3AD4" w:rsidRPr="00136581">
        <w:rPr>
          <w:rFonts w:ascii="方正小标宋_GBK" w:eastAsia="方正小标宋_GBK" w:hAnsi="宋体" w:hint="eastAsia"/>
          <w:sz w:val="40"/>
          <w:szCs w:val="36"/>
        </w:rPr>
        <w:t>年度苏州市民生科技项目指南</w:t>
      </w:r>
    </w:p>
    <w:p w:rsidR="004C3AD4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仿宋_GB2312" w:eastAsia="仿宋_GB2312" w:hAnsi="Times New Roman" w:cs="Times New Roman"/>
          <w:b/>
          <w:bCs/>
        </w:rPr>
      </w:pP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一、科技示范工程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民生科技示范工程以市委市政府政府重点实事工程为依托，针对我市社会发展（民生科技）领域的关键技术问题，组织开展关键技术集成应用与综合科技示范，要突显民众的感受度与获得感。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230101苏州市生活垃圾分类实施对策研究与集成应用科技示范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为全面贯彻习近平总书记关于垃圾分类系列重要指示精神，配合《苏州市生活垃圾管理条例》正式实施，提升我市垃圾分类工作管理水平，建立我市6区4县垃圾分类资源整合、数据共享的管理平台以及服务于广大市民的垃圾分类互动平台，运用大数据、云计算、物联网等新一代信息技术，以数据化、模型化和可视化为目标，打造“逐级化监管、数据化考核、科学化决策、创新化互动”的多层级、全方位的垃圾分类管理模式，全面提升垃圾分类管理能力和管理水平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230102重大安全风险防控智能泛在</w:t>
      </w:r>
      <w:proofErr w:type="gramStart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感知网</w:t>
      </w:r>
      <w:proofErr w:type="gramEnd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建设与科技示范</w:t>
      </w:r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着力打赢防范化解重大风险攻坚战，贯彻市委市政府关于加强重大安全稳定风险防控的总体要求，集成应用区块链、大数据、边缘计算、人工智能等新型技术，科学规划布建各类智能感知、数据采集和智能安检设备，构建以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科技物联感</w:t>
      </w:r>
      <w:r w:rsidRPr="00136581">
        <w:rPr>
          <w:rFonts w:ascii="仿宋_GB2312" w:eastAsia="仿宋_GB2312" w:hAnsi="华文仿宋" w:hint="eastAsia"/>
          <w:sz w:val="32"/>
          <w:szCs w:val="32"/>
        </w:rPr>
        <w:lastRenderedPageBreak/>
        <w:t>知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为主体，以目标对象社会活动感知、公共安全活动感知、警务活动感知为补充的前端感知体系和智能安全防控体系，研究形成全市一体化多维感知、广泛互联、集成应用解决方案，并开展市级应用示范。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230103太湖流域复合污染生态修复技术集成应用示范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围绕2020年苏州市政府实事工程，从太湖、阳澄湖水质保护与生态安全出发，选择代表性太湖、阳澄湖小流域及入湖河道水岸地带，按照山水林田湖草生命共同体的理念，重点突破重金属清除、有机污染物降解及面源污染防控单一技术限制，优</w:t>
      </w:r>
      <w:r w:rsidRPr="00136581">
        <w:rPr>
          <w:rFonts w:ascii="仿宋_GB2312" w:eastAsia="仿宋_GB2312" w:hAnsi="华文仿宋" w:hint="eastAsia"/>
          <w:kern w:val="0"/>
          <w:sz w:val="32"/>
          <w:szCs w:val="32"/>
        </w:rPr>
        <w:t>化湖滨湿地带水生生态系统的长效性构建，在流域尺度和生态系统层面统筹规划，集成当前可行且易推广</w:t>
      </w:r>
      <w:r w:rsidRPr="00136581">
        <w:rPr>
          <w:rFonts w:ascii="仿宋_GB2312" w:eastAsia="仿宋_GB2312" w:hAnsi="华文仿宋" w:hint="eastAsia"/>
          <w:sz w:val="32"/>
          <w:szCs w:val="32"/>
        </w:rPr>
        <w:t>的技术，开展“自然恢复+生态修复”等成熟技术的应用示范，为解决流域生态环境问题提供科技支撑。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230104医院感染管理预防与控制能力提升技术集成应用示范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针对医院公共安全事故隐患诊断的深度化、体系化和常态化等重大需求，通过有效措施，以科学监测为依据，以感染管理为手段，预防和控制医院感染的发生，建立健全医院感染监控体系，提供科学、规范的管理模式，强化医院感染管理后，可明显降低院内感染的发生，保护患者以及医护人员的健康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230105吴门</w:t>
      </w:r>
      <w:proofErr w:type="gramStart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医</w:t>
      </w:r>
      <w:proofErr w:type="gramEnd"/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派中医药现代化的创新研究与科技示范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根据中共中央、国务院《关于促进中医药传承创新发展的意见》，突出中医药的优势特色，加强中医原创理论创新</w:t>
      </w:r>
      <w:r w:rsidRPr="00136581">
        <w:rPr>
          <w:rFonts w:ascii="仿宋_GB2312" w:eastAsia="仿宋_GB2312" w:hAnsi="华文仿宋" w:hint="eastAsia"/>
          <w:sz w:val="32"/>
          <w:szCs w:val="32"/>
        </w:rPr>
        <w:lastRenderedPageBreak/>
        <w:t>及中医药的现代传承研究，选择重大疾病、慢性病、妇幼疾病等，开展中医药防、治和（或）中医治未病、健康养生研究，探索传承与创新并重，理论与临床相长的系统化研究方法，运用现代科技推动中医药发展，进一步探索中医药科学本质，为中医创新、发展与现代化提供科技支撑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230106妇幼生殖健康精准临床诊疗科技示范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根据《“健康中国2030”规划纲要》，针对婚前、孕前、孕产期、儿童等阶段特点，实施母婴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安全行动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计划和妇幼健康保障工程，开展妇幼生殖健康相关疾病的技术研究，加强出生缺陷三级预防措施。对较为成熟的精准诊断技术，开展多中心大样本随机对照研究，明确新技术的有效性和可靠性，形成行业公认的诊断方案，提高人口综合素质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  <w:r w:rsidRPr="00136581">
        <w:rPr>
          <w:rFonts w:ascii="仿宋_GB2312" w:eastAsia="仿宋_GB2312" w:hint="eastAsia"/>
          <w:b/>
          <w:bCs/>
          <w:kern w:val="0"/>
          <w:sz w:val="32"/>
          <w:szCs w:val="32"/>
        </w:rPr>
        <w:t>230107糖尿病综合防控体系构建与科技示范</w:t>
      </w:r>
    </w:p>
    <w:p w:rsidR="004C3AD4" w:rsidRPr="00136581" w:rsidRDefault="004C3AD4" w:rsidP="004C3AD4">
      <w:pPr>
        <w:pStyle w:val="a5"/>
        <w:widowControl w:val="0"/>
        <w:adjustRightInd w:val="0"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华文仿宋"/>
          <w:kern w:val="2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贯彻落实《“健康中国2030”规划纲要》，落实对糖尿病患者和高危人群的健康管理，提供规范的健康管理服务。健全糖尿病防治服务体系，推进糖尿病防、治、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管整体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融合发展。开展高危人群的筛查，建立不同类型糖尿病的精准诊断平台和防治队列；建立基于多组学的糖尿病及并发症的预测模型；开展新技术在糖尿病诊断的应用，建立一个可复制、可持续、模式新的糖尿病综合防控的市、市区级示范样本，推动“健康苏州”建设。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二、关键技术应用研究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（一）人口健康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196" w:firstLine="630"/>
        <w:jc w:val="both"/>
        <w:outlineLvl w:val="0"/>
        <w:rPr>
          <w:rFonts w:ascii="仿宋_GB2312" w:eastAsia="仿宋_GB2312" w:hAnsi="仿宋" w:cs="仿宋"/>
          <w:b/>
          <w:kern w:val="2"/>
        </w:rPr>
      </w:pPr>
      <w:r w:rsidRPr="00136581">
        <w:rPr>
          <w:rFonts w:ascii="仿宋_GB2312" w:eastAsia="仿宋_GB2312" w:hAnsi="仿宋" w:cs="仿宋" w:hint="eastAsia"/>
          <w:b/>
          <w:kern w:val="2"/>
        </w:rPr>
        <w:t>（1）新型临床诊疗技术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="2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针对危及人民群众生命健康的常见病、多发病，围绕重点人群、重点区域、重点环节，开展疾病分子诊断、免疫诊断、个体化诊疗等专项诊疗关键技术研究和攻关，创新临床诊疗专项技术方法，攻克一批诊断、治疗、康复的临床应用新技术并转化为诊疗技术指南，有效解决临床实际问题和优化医疗服务模式，形成我市相关临床领域的技术特色和人才优势。（按照临床专科申报，临床专科代码详见附件</w:t>
      </w:r>
      <w:r w:rsidRPr="00136581">
        <w:rPr>
          <w:rFonts w:ascii="仿宋_GB2312" w:eastAsia="仿宋_GB2312" w:hAnsi="仿宋" w:cs="仿宋" w:hint="eastAsia"/>
          <w:sz w:val="32"/>
          <w:szCs w:val="32"/>
        </w:rPr>
        <w:t>2）。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230201新型临床诊疗技术攻关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196" w:firstLine="630"/>
        <w:jc w:val="both"/>
        <w:outlineLvl w:val="0"/>
        <w:rPr>
          <w:rFonts w:ascii="仿宋_GB2312" w:eastAsia="仿宋_GB2312" w:hAnsi="仿宋" w:cs="仿宋"/>
          <w:b/>
          <w:kern w:val="2"/>
        </w:rPr>
      </w:pPr>
      <w:r w:rsidRPr="00136581">
        <w:rPr>
          <w:rFonts w:ascii="仿宋_GB2312" w:eastAsia="仿宋_GB2312" w:hAnsi="仿宋" w:cs="仿宋" w:hint="eastAsia"/>
          <w:b/>
          <w:kern w:val="2"/>
        </w:rPr>
        <w:t>（2）公共卫生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230202</w:t>
      </w:r>
      <w:r w:rsidRPr="00136581">
        <w:rPr>
          <w:rFonts w:ascii="仿宋_GB2312" w:eastAsia="仿宋_GB2312" w:hAnsi="华文仿宋" w:hint="eastAsia"/>
          <w:sz w:val="32"/>
          <w:szCs w:val="32"/>
        </w:rPr>
        <w:t>重大与境外输入传染病预防控制关键技术应用</w:t>
      </w:r>
      <w:r w:rsidRPr="00136581">
        <w:rPr>
          <w:rFonts w:ascii="仿宋_GB2312" w:eastAsia="仿宋_GB2312" w:hAnsi="仿宋" w:cs="仿宋" w:hint="eastAsia"/>
          <w:sz w:val="32"/>
          <w:szCs w:val="32"/>
        </w:rPr>
        <w:t>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230203血液安全关键技术应用研究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230204老年人健康关键技术应用研究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230205妇女健康关键技术应用研究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230206出生缺陷及儿童健康关键技术应用研究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230207残疾人及慢病患者康复关键技术应用研究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230208中医药传承与发展关键技术应用研究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230209精神疾病的心理康复应用研究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230210儿童青少年近视综合防控关键技术应用研究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（二）生态环境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230211</w:t>
      </w:r>
      <w:r w:rsidRPr="00136581">
        <w:rPr>
          <w:rFonts w:ascii="仿宋_GB2312" w:eastAsia="仿宋_GB2312" w:hAnsi="华文仿宋" w:hint="eastAsia"/>
          <w:sz w:val="32"/>
          <w:szCs w:val="32"/>
        </w:rPr>
        <w:t>大气污染防治关键技术应用研究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230212水污染治理关键技术应用研究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230213土壤污染诊断、风险防控、应急处置、治理与修复关键技术应用研究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lastRenderedPageBreak/>
        <w:t>230214固体废弃物无害化处理和资源化利用关键技术应用研究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230215新能源与可再生能源利用应用研究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230216绿色建筑关键技术应用研究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230217节能减</w:t>
      </w:r>
      <w:proofErr w:type="gramStart"/>
      <w:r w:rsidRPr="00136581">
        <w:rPr>
          <w:rFonts w:ascii="仿宋_GB2312" w:eastAsia="仿宋_GB2312" w:hAnsi="华文仿宋" w:hint="eastAsia"/>
          <w:sz w:val="32"/>
          <w:szCs w:val="32"/>
        </w:rPr>
        <w:t>排关键</w:t>
      </w:r>
      <w:proofErr w:type="gramEnd"/>
      <w:r w:rsidRPr="00136581">
        <w:rPr>
          <w:rFonts w:ascii="仿宋_GB2312" w:eastAsia="仿宋_GB2312" w:hAnsi="华文仿宋" w:hint="eastAsia"/>
          <w:sz w:val="32"/>
          <w:szCs w:val="32"/>
        </w:rPr>
        <w:t>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（三）公共安全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230218</w:t>
      </w:r>
      <w:r w:rsidRPr="00136581">
        <w:rPr>
          <w:rFonts w:ascii="仿宋_GB2312" w:eastAsia="仿宋_GB2312" w:hAnsi="华文仿宋" w:hint="eastAsia"/>
          <w:sz w:val="32"/>
          <w:szCs w:val="32"/>
        </w:rPr>
        <w:t>饮用水质量安全保障关键技术应用研究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230219食品安全关键技术应用研究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230220药品、保健品、化妆品安全及检测、检验检疫关键技术应用研究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230221地震、地质、火灾、气象等灾害监测预警、防御及应急救助技术应用研究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230222安全生产关键技术应用研究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230223职业危害防范与治理关键技术应用研究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230224社会治安综合防控关键技术应用研究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3"/>
        <w:jc w:val="both"/>
        <w:rPr>
          <w:rFonts w:ascii="楷体_GB2312" w:eastAsia="楷体_GB2312" w:hAnsi="华文仿宋" w:cs="Times New Roman"/>
          <w:b/>
          <w:bCs/>
          <w:kern w:val="2"/>
        </w:rPr>
      </w:pPr>
      <w:r w:rsidRPr="00136581">
        <w:rPr>
          <w:rFonts w:ascii="楷体_GB2312" w:eastAsia="楷体_GB2312" w:hAnsi="华文仿宋" w:cs="Times New Roman" w:hint="eastAsia"/>
          <w:b/>
          <w:bCs/>
          <w:kern w:val="2"/>
        </w:rPr>
        <w:t>（四）公共服务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230225</w:t>
      </w:r>
      <w:r w:rsidRPr="00136581">
        <w:rPr>
          <w:rFonts w:ascii="仿宋_GB2312" w:eastAsia="仿宋_GB2312" w:hAnsi="华文仿宋" w:hint="eastAsia"/>
          <w:sz w:val="32"/>
          <w:szCs w:val="32"/>
        </w:rPr>
        <w:t>城市社会公共管理关键技术应用研究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230226城市智慧交通关键技术应用研究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仿宋_GB2312" w:eastAsia="仿宋_GB2312" w:hAnsi="华文仿宋" w:cs="Times New Roman"/>
          <w:kern w:val="2"/>
        </w:rPr>
      </w:pPr>
      <w:r w:rsidRPr="00136581">
        <w:rPr>
          <w:rFonts w:ascii="仿宋_GB2312" w:eastAsia="仿宋_GB2312" w:hAnsi="华文仿宋" w:cs="Times New Roman" w:hint="eastAsia"/>
          <w:kern w:val="2"/>
        </w:rPr>
        <w:t>230227文物保护与文化传承等领域关键技术应用研究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sz w:val="32"/>
          <w:szCs w:val="32"/>
        </w:rPr>
        <w:t>230228全民健身和体育竞技关键技术应用研究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三、医疗卫生应用基础研究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230301</w:t>
      </w:r>
      <w:r w:rsidRPr="00136581">
        <w:rPr>
          <w:rFonts w:ascii="仿宋_GB2312" w:eastAsia="仿宋_GB2312" w:hAnsi="华文仿宋" w:hint="eastAsia"/>
          <w:b/>
          <w:bCs/>
          <w:sz w:val="32"/>
          <w:szCs w:val="32"/>
        </w:rPr>
        <w:t>医疗卫生应用基础研究（青年项目）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 w:hAnsi="华文仿宋"/>
          <w:b/>
          <w:bCs/>
          <w:sz w:val="32"/>
          <w:szCs w:val="32"/>
        </w:rPr>
      </w:pPr>
      <w:r w:rsidRPr="00136581">
        <w:rPr>
          <w:rFonts w:ascii="仿宋_GB2312" w:eastAsia="仿宋_GB2312" w:hAnsi="华文仿宋" w:hint="eastAsia"/>
          <w:b/>
          <w:bCs/>
          <w:sz w:val="32"/>
          <w:szCs w:val="32"/>
        </w:rPr>
        <w:t>230302医疗卫生应用基础研究（面上项目）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="643"/>
        <w:rPr>
          <w:rFonts w:ascii="仿宋_GB2312" w:eastAsia="仿宋_GB2312" w:hAnsi="华文仿宋"/>
          <w:sz w:val="32"/>
          <w:szCs w:val="32"/>
        </w:rPr>
      </w:pPr>
      <w:r w:rsidRPr="00136581">
        <w:rPr>
          <w:rFonts w:ascii="仿宋_GB2312" w:eastAsia="仿宋_GB2312" w:hAnsi="华文仿宋" w:hint="eastAsia"/>
          <w:b/>
          <w:bCs/>
          <w:sz w:val="32"/>
          <w:szCs w:val="32"/>
        </w:rPr>
        <w:t xml:space="preserve"> </w:t>
      </w:r>
      <w:r w:rsidRPr="00136581">
        <w:rPr>
          <w:rFonts w:ascii="仿宋_GB2312" w:eastAsia="仿宋_GB2312" w:hAnsi="华文仿宋" w:hint="eastAsia"/>
          <w:sz w:val="32"/>
          <w:szCs w:val="32"/>
        </w:rPr>
        <w:t>医疗卫生应用基础研究不限定项目研究方向，可根据</w:t>
      </w:r>
      <w:r w:rsidRPr="00136581">
        <w:rPr>
          <w:rFonts w:ascii="仿宋_GB2312" w:eastAsia="仿宋_GB2312" w:hAnsi="华文仿宋" w:hint="eastAsia"/>
          <w:sz w:val="32"/>
          <w:szCs w:val="32"/>
        </w:rPr>
        <w:lastRenderedPageBreak/>
        <w:t>“医学学科申报代码表（一级代码）（详见附件4）”中的专科类别自行确定研究方向，不在代码表中的医学领域相关课题将不接收申报。</w:t>
      </w:r>
    </w:p>
    <w:p w:rsidR="004C3AD4" w:rsidRPr="00136581" w:rsidRDefault="004C3AD4" w:rsidP="004C3AD4">
      <w:pPr>
        <w:pStyle w:val="88526"/>
        <w:snapToGrid w:val="0"/>
        <w:spacing w:before="0" w:beforeAutospacing="0" w:after="0" w:line="580" w:lineRule="atLeast"/>
        <w:ind w:firstLineChars="200" w:firstLine="640"/>
        <w:jc w:val="both"/>
        <w:rPr>
          <w:rFonts w:ascii="黑体" w:eastAsia="黑体" w:hAnsi="黑体" w:cs="Times New Roman"/>
          <w:bCs/>
          <w:kern w:val="2"/>
        </w:rPr>
      </w:pPr>
      <w:r w:rsidRPr="00136581">
        <w:rPr>
          <w:rFonts w:ascii="黑体" w:eastAsia="黑体" w:hAnsi="黑体" w:cs="Times New Roman" w:hint="eastAsia"/>
          <w:bCs/>
          <w:kern w:val="2"/>
        </w:rPr>
        <w:t>四、实验动物许可证后补助</w:t>
      </w:r>
    </w:p>
    <w:p w:rsidR="004C3AD4" w:rsidRPr="00136581" w:rsidRDefault="004C3AD4" w:rsidP="004C3AD4">
      <w:pPr>
        <w:adjustRightInd w:val="0"/>
        <w:snapToGrid w:val="0"/>
        <w:spacing w:line="580" w:lineRule="atLeas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136581">
        <w:rPr>
          <w:rFonts w:ascii="仿宋_GB2312" w:eastAsia="仿宋_GB2312" w:hAnsi="仿宋" w:cs="宋体" w:hint="eastAsia"/>
          <w:b/>
          <w:bCs/>
          <w:sz w:val="32"/>
          <w:szCs w:val="32"/>
        </w:rPr>
        <w:t>130108</w:t>
      </w:r>
      <w:r w:rsidRPr="00136581">
        <w:rPr>
          <w:rFonts w:ascii="仿宋_GB2312" w:eastAsia="仿宋_GB2312" w:hAnsi="Times New Roman" w:hint="eastAsia"/>
          <w:b/>
          <w:bCs/>
          <w:sz w:val="32"/>
          <w:szCs w:val="32"/>
        </w:rPr>
        <w:t>江苏省实验动物许可证后补助</w:t>
      </w:r>
    </w:p>
    <w:p w:rsidR="004C3AD4" w:rsidRPr="00136581" w:rsidRDefault="004C3AD4" w:rsidP="004C3AD4">
      <w:pPr>
        <w:adjustRightInd w:val="0"/>
        <w:spacing w:line="5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sectPr w:rsidR="004C3AD4" w:rsidRPr="00136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97" w:rsidRDefault="00661697" w:rsidP="004C3AD4">
      <w:r>
        <w:separator/>
      </w:r>
    </w:p>
  </w:endnote>
  <w:endnote w:type="continuationSeparator" w:id="0">
    <w:p w:rsidR="00661697" w:rsidRDefault="00661697" w:rsidP="004C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97" w:rsidRDefault="00661697" w:rsidP="004C3AD4">
      <w:r>
        <w:separator/>
      </w:r>
    </w:p>
  </w:footnote>
  <w:footnote w:type="continuationSeparator" w:id="0">
    <w:p w:rsidR="00661697" w:rsidRDefault="00661697" w:rsidP="004C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E7"/>
    <w:rsid w:val="001A07B6"/>
    <w:rsid w:val="00337AA0"/>
    <w:rsid w:val="004C3AD4"/>
    <w:rsid w:val="00521327"/>
    <w:rsid w:val="00661697"/>
    <w:rsid w:val="007524DA"/>
    <w:rsid w:val="00B620E7"/>
    <w:rsid w:val="00BD1EF7"/>
    <w:rsid w:val="00D33478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AD4"/>
    <w:rPr>
      <w:sz w:val="18"/>
      <w:szCs w:val="18"/>
    </w:rPr>
  </w:style>
  <w:style w:type="paragraph" w:customStyle="1" w:styleId="88526">
    <w:name w:val="样式 主题词 + 段后: 8.85 磅 行距: 固定值 26 磅"/>
    <w:basedOn w:val="a"/>
    <w:rsid w:val="004C3AD4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  <w:style w:type="paragraph" w:styleId="a5">
    <w:name w:val="Normal (Web)"/>
    <w:basedOn w:val="a"/>
    <w:uiPriority w:val="99"/>
    <w:unhideWhenUsed/>
    <w:rsid w:val="004C3A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附件栏"/>
    <w:basedOn w:val="a"/>
    <w:rsid w:val="004C3AD4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1">
    <w:name w:val="列出段落1"/>
    <w:basedOn w:val="a"/>
    <w:rsid w:val="004C3AD4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AD4"/>
    <w:rPr>
      <w:sz w:val="18"/>
      <w:szCs w:val="18"/>
    </w:rPr>
  </w:style>
  <w:style w:type="paragraph" w:customStyle="1" w:styleId="88526">
    <w:name w:val="样式 主题词 + 段后: 8.85 磅 行距: 固定值 26 磅"/>
    <w:basedOn w:val="a"/>
    <w:rsid w:val="004C3AD4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  <w:style w:type="paragraph" w:styleId="a5">
    <w:name w:val="Normal (Web)"/>
    <w:basedOn w:val="a"/>
    <w:uiPriority w:val="99"/>
    <w:unhideWhenUsed/>
    <w:rsid w:val="004C3A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附件栏"/>
    <w:basedOn w:val="a"/>
    <w:rsid w:val="004C3AD4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1">
    <w:name w:val="列出段落1"/>
    <w:basedOn w:val="a"/>
    <w:rsid w:val="004C3AD4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HP</cp:lastModifiedBy>
  <cp:revision>6</cp:revision>
  <dcterms:created xsi:type="dcterms:W3CDTF">2020-06-16T04:44:00Z</dcterms:created>
  <dcterms:modified xsi:type="dcterms:W3CDTF">2020-06-18T06:14:00Z</dcterms:modified>
</cp:coreProperties>
</file>